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70B94FBE"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w:t>
      </w:r>
      <w:proofErr w:type="gramStart"/>
      <w:r w:rsidRPr="000C67DE">
        <w:rPr>
          <w:rFonts w:ascii="Arial" w:hAnsi="Arial" w:cs="Arial"/>
          <w:sz w:val="24"/>
          <w:szCs w:val="24"/>
          <w:lang w:val="en-US"/>
        </w:rPr>
        <w:t>photographs</w:t>
      </w:r>
      <w:proofErr w:type="gramEnd"/>
      <w:r w:rsidRPr="000C67DE">
        <w:rPr>
          <w:rFonts w:ascii="Arial" w:hAnsi="Arial" w:cs="Arial"/>
          <w:sz w:val="24"/>
          <w:szCs w:val="24"/>
          <w:lang w:val="en-US"/>
        </w:rPr>
        <w:t xml:space="preserve">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4E8C4983" w:rsidR="00196D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7C8135C7" w:rsidR="00892A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 xml:space="preserve">referring back to things that have already been </w:t>
      </w:r>
      <w:proofErr w:type="gramStart"/>
      <w:r w:rsidRPr="00D96D66">
        <w:rPr>
          <w:rFonts w:ascii="Arial" w:hAnsi="Arial" w:cs="Arial"/>
        </w:rPr>
        <w:t>said</w:t>
      </w:r>
      <w:proofErr w:type="gramEnd"/>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040950ED" w:rsidR="00892A83" w:rsidRPr="0035211D" w:rsidRDefault="00CF6EE8"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77777777" w:rsidR="00E5651D" w:rsidRPr="00B92F68" w:rsidRDefault="00E5651D" w:rsidP="00B92F68">
      <w:pPr>
        <w:rPr>
          <w:rFonts w:ascii="Arial" w:hAnsi="Arial" w:cs="Arial"/>
          <w:sz w:val="24"/>
          <w:szCs w:val="24"/>
        </w:rPr>
      </w:pPr>
      <w:r>
        <w:rPr>
          <w:rFonts w:ascii="Arial" w:hAnsi="Arial" w:cs="Arial"/>
          <w:sz w:val="24"/>
          <w:szCs w:val="24"/>
          <w:lang w:val="en-US"/>
        </w:rPr>
        <w:t>500 words, 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000000">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000000">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3E71"/>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48EC"/>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MoEd-979828997-360</_dlc_DocId>
    <_dlc_DocIdUrl xmlns="f37f3afa-dda7-4bd8-9f4a-089dec9fcbbe">
      <Url>https://educationgovtnz.sharepoint.com/sites/GRPMoEEXTTP-OCHMigration-NCEATKIchanges/_layouts/15/DocIdRedir.aspx?ID=MoEd-979828997-360</Url>
      <Description>MoEd-979828997-360</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2.xml><?xml version="1.0" encoding="utf-8"?>
<ds:datastoreItem xmlns:ds="http://schemas.openxmlformats.org/officeDocument/2006/customXml" ds:itemID="{F2AF03AA-84C7-494C-AE8A-C663DF05F1A7}"/>
</file>

<file path=customXml/itemProps3.xml><?xml version="1.0" encoding="utf-8"?>
<ds:datastoreItem xmlns:ds="http://schemas.openxmlformats.org/officeDocument/2006/customXml" ds:itemID="{BB47FFCC-486A-4FE6-8664-5277C2CBB52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4.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5.xml><?xml version="1.0" encoding="utf-8"?>
<ds:datastoreItem xmlns:ds="http://schemas.openxmlformats.org/officeDocument/2006/customXml" ds:itemID="{84652253-B5AD-4EC8-8BC7-6DBBCE234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2</DocSecurity>
  <Lines>73</Lines>
  <Paragraphs>20</Paragraphs>
  <ScaleCrop>false</ScaleCrop>
  <Company>Ministry of Education</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41f303fb-e12b-477b-b682-33033b705c85</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